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800F78" w:rsidRPr="00A06E20" w:rsidRDefault="000F2857" w:rsidP="00CD432F">
      <w:pPr>
        <w:rPr>
          <w:sz w:val="24"/>
          <w:szCs w:val="24"/>
        </w:rPr>
      </w:pPr>
      <w:r>
        <w:rPr>
          <w:b/>
          <w:sz w:val="24"/>
          <w:szCs w:val="24"/>
        </w:rPr>
        <w:t xml:space="preserve">Settlement Name: </w:t>
      </w:r>
      <w:r w:rsidR="00492515">
        <w:rPr>
          <w:sz w:val="24"/>
          <w:szCs w:val="24"/>
        </w:rPr>
        <w:t>Settle</w:t>
      </w:r>
    </w:p>
    <w:p w:rsidR="00C1109B" w:rsidRPr="00E949DF" w:rsidRDefault="00CD432F" w:rsidP="00CD432F">
      <w:pPr>
        <w:rPr>
          <w:sz w:val="24"/>
          <w:szCs w:val="24"/>
        </w:rPr>
      </w:pPr>
      <w:r>
        <w:rPr>
          <w:b/>
          <w:sz w:val="24"/>
          <w:szCs w:val="24"/>
        </w:rPr>
        <w:t xml:space="preserve">Site Number and Address: </w:t>
      </w:r>
      <w:r w:rsidR="00492515">
        <w:rPr>
          <w:b/>
          <w:sz w:val="24"/>
          <w:szCs w:val="24"/>
        </w:rPr>
        <w:t xml:space="preserve"> </w:t>
      </w:r>
      <w:r w:rsidR="00492515" w:rsidRPr="00492515">
        <w:rPr>
          <w:sz w:val="24"/>
          <w:szCs w:val="24"/>
        </w:rPr>
        <w:t>SG079; Land to the north of Town Head Way, Settle</w:t>
      </w:r>
    </w:p>
    <w:p w:rsidR="00F62E2A" w:rsidRPr="00F62E2A" w:rsidRDefault="00F62E2A" w:rsidP="00CD432F">
      <w:pPr>
        <w:rPr>
          <w:sz w:val="24"/>
          <w:szCs w:val="24"/>
        </w:rPr>
      </w:pPr>
    </w:p>
    <w:p w:rsidR="00CD432F" w:rsidRPr="00776515" w:rsidRDefault="00CD432F">
      <w:pPr>
        <w:rPr>
          <w:b/>
          <w:sz w:val="24"/>
          <w:szCs w:val="24"/>
          <w:u w:val="single"/>
        </w:rPr>
      </w:pPr>
      <w:r w:rsidRPr="00776515">
        <w:rPr>
          <w:b/>
          <w:sz w:val="24"/>
          <w:szCs w:val="24"/>
          <w:u w:val="single"/>
        </w:rPr>
        <w:t xml:space="preserve">Stage 1: </w:t>
      </w:r>
      <w:r w:rsidR="00C815F9">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CD432F" w:rsidRDefault="005D5DD2">
      <w:r w:rsidRPr="005D5DD2">
        <w:rPr>
          <w:noProof/>
          <w:lang w:eastAsia="en-GB"/>
        </w:rPr>
        <w:drawing>
          <wp:inline distT="0" distB="0" distL="0" distR="0" wp14:anchorId="2A9E3268" wp14:editId="120092CE">
            <wp:extent cx="8863330" cy="543693"/>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543693"/>
                    </a:xfrm>
                    <a:prstGeom prst="rect">
                      <a:avLst/>
                    </a:prstGeom>
                    <a:noFill/>
                    <a:ln>
                      <a:noFill/>
                    </a:ln>
                  </pic:spPr>
                </pic:pic>
              </a:graphicData>
            </a:graphic>
          </wp:inline>
        </w:drawing>
      </w:r>
    </w:p>
    <w:p w:rsidR="00492515" w:rsidRDefault="0002178C" w:rsidP="008856BA">
      <w:pPr>
        <w:jc w:val="both"/>
        <w:rPr>
          <w:b/>
          <w:i/>
        </w:rPr>
      </w:pPr>
      <w:r w:rsidRPr="0002178C">
        <w:rPr>
          <w:noProof/>
          <w:lang w:eastAsia="en-GB"/>
        </w:rPr>
        <w:drawing>
          <wp:inline distT="0" distB="0" distL="0" distR="0" wp14:anchorId="7218533D" wp14:editId="2A3E3842">
            <wp:extent cx="8863330" cy="964088"/>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964088"/>
                    </a:xfrm>
                    <a:prstGeom prst="rect">
                      <a:avLst/>
                    </a:prstGeom>
                    <a:noFill/>
                    <a:ln>
                      <a:noFill/>
                    </a:ln>
                  </pic:spPr>
                </pic:pic>
              </a:graphicData>
            </a:graphic>
          </wp:inline>
        </w:drawing>
      </w:r>
    </w:p>
    <w:p w:rsidR="007525D9" w:rsidRDefault="007525D9" w:rsidP="007525D9">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t xml:space="preserve">eferred Sites list for Settle, subject to Stage 2 analysis below, and also a possible comparison of the site’s merits with other sustainable sites in Settle if a surplus of sites exists. </w:t>
      </w:r>
    </w:p>
    <w:p w:rsidR="007525D9" w:rsidRPr="00C1109B" w:rsidRDefault="007525D9" w:rsidP="007525D9">
      <w:pPr>
        <w:rPr>
          <w:b/>
        </w:rPr>
      </w:pPr>
    </w:p>
    <w:p w:rsidR="007525D9" w:rsidRPr="00776515" w:rsidRDefault="007525D9" w:rsidP="007525D9">
      <w:pPr>
        <w:rPr>
          <w:b/>
          <w:sz w:val="24"/>
          <w:szCs w:val="24"/>
          <w:u w:val="single"/>
        </w:rPr>
      </w:pPr>
      <w:r>
        <w:rPr>
          <w:b/>
          <w:sz w:val="24"/>
          <w:szCs w:val="24"/>
          <w:u w:val="single"/>
        </w:rPr>
        <w:t>Stage 2: District</w:t>
      </w:r>
      <w:r w:rsidRPr="00776515">
        <w:rPr>
          <w:b/>
          <w:sz w:val="24"/>
          <w:szCs w:val="24"/>
          <w:u w:val="single"/>
        </w:rPr>
        <w:t xml:space="preserve"> Level Analysis</w:t>
      </w:r>
    </w:p>
    <w:p w:rsidR="007525D9" w:rsidRPr="00C1109B" w:rsidRDefault="007525D9" w:rsidP="007525D9">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7525D9" w:rsidRPr="00CD432F" w:rsidTr="00834C48">
        <w:tc>
          <w:tcPr>
            <w:tcW w:w="13008" w:type="dxa"/>
          </w:tcPr>
          <w:p w:rsidR="007525D9" w:rsidRPr="00CD432F" w:rsidRDefault="007525D9" w:rsidP="007525D9">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7525D9" w:rsidRPr="00B21C52" w:rsidRDefault="007525D9" w:rsidP="00834C48">
            <w:pPr>
              <w:jc w:val="center"/>
              <w:rPr>
                <w:b/>
              </w:rPr>
            </w:pPr>
            <w:r>
              <w:rPr>
                <w:b/>
              </w:rPr>
              <w:t>Yes</w:t>
            </w:r>
          </w:p>
        </w:tc>
      </w:tr>
      <w:tr w:rsidR="007525D9" w:rsidRPr="00CD432F" w:rsidTr="00834C48">
        <w:tc>
          <w:tcPr>
            <w:tcW w:w="13008" w:type="dxa"/>
          </w:tcPr>
          <w:p w:rsidR="007525D9" w:rsidRPr="00CD432F" w:rsidRDefault="007525D9" w:rsidP="007525D9">
            <w:pPr>
              <w:numPr>
                <w:ilvl w:val="0"/>
                <w:numId w:val="3"/>
              </w:numPr>
              <w:contextualSpacing/>
            </w:pPr>
            <w:r w:rsidRPr="00CD432F">
              <w:lastRenderedPageBreak/>
              <w:t>The site is in a designated rural area, and is likely to deliver 6 or more dwellings. A financial contribution towards affordable housing is obtained.</w:t>
            </w:r>
          </w:p>
        </w:tc>
        <w:tc>
          <w:tcPr>
            <w:tcW w:w="1275" w:type="dxa"/>
          </w:tcPr>
          <w:p w:rsidR="007525D9" w:rsidRPr="00B21C52" w:rsidRDefault="007525D9" w:rsidP="00834C48">
            <w:pPr>
              <w:jc w:val="center"/>
              <w:rPr>
                <w:b/>
              </w:rPr>
            </w:pPr>
          </w:p>
        </w:tc>
      </w:tr>
      <w:tr w:rsidR="007525D9" w:rsidRPr="00CD432F" w:rsidTr="00834C48">
        <w:tc>
          <w:tcPr>
            <w:tcW w:w="13008" w:type="dxa"/>
          </w:tcPr>
          <w:p w:rsidR="007525D9" w:rsidRPr="00CD432F" w:rsidRDefault="007525D9" w:rsidP="007525D9">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7525D9" w:rsidRPr="00B21C52" w:rsidRDefault="007525D9" w:rsidP="00834C48">
            <w:pPr>
              <w:jc w:val="center"/>
              <w:rPr>
                <w:b/>
              </w:rPr>
            </w:pPr>
          </w:p>
        </w:tc>
      </w:tr>
    </w:tbl>
    <w:p w:rsidR="007525D9" w:rsidRPr="00CD432F" w:rsidRDefault="007525D9" w:rsidP="007525D9"/>
    <w:p w:rsidR="007525D9" w:rsidRPr="00C1109B" w:rsidRDefault="007525D9" w:rsidP="007525D9">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7525D9" w:rsidRPr="00CD432F" w:rsidTr="00834C48">
        <w:tc>
          <w:tcPr>
            <w:tcW w:w="13008" w:type="dxa"/>
          </w:tcPr>
          <w:p w:rsidR="007525D9" w:rsidRPr="00CD432F" w:rsidRDefault="007525D9" w:rsidP="007525D9">
            <w:pPr>
              <w:numPr>
                <w:ilvl w:val="0"/>
                <w:numId w:val="4"/>
              </w:numPr>
              <w:contextualSpacing/>
              <w:jc w:val="both"/>
            </w:pPr>
            <w:r w:rsidRPr="00CD432F">
              <w:t>Site is likely to have potential to harm the special qualities of the designated lan</w:t>
            </w:r>
            <w:r>
              <w:t xml:space="preserve">dscapes of the YDNP or the AONB, and any harm cannot be </w:t>
            </w:r>
            <w:proofErr w:type="gramStart"/>
            <w:r>
              <w:t>mitigated</w:t>
            </w:r>
            <w:proofErr w:type="gramEnd"/>
            <w:r>
              <w:t xml:space="preserve"> against.</w:t>
            </w:r>
          </w:p>
          <w:p w:rsidR="007525D9" w:rsidRPr="00CD432F" w:rsidRDefault="007525D9" w:rsidP="00834C48"/>
        </w:tc>
        <w:tc>
          <w:tcPr>
            <w:tcW w:w="1417" w:type="dxa"/>
          </w:tcPr>
          <w:p w:rsidR="007525D9" w:rsidRPr="00B21C52" w:rsidRDefault="007525D9" w:rsidP="00834C48">
            <w:pPr>
              <w:jc w:val="center"/>
              <w:rPr>
                <w:b/>
              </w:rPr>
            </w:pPr>
            <w:r>
              <w:rPr>
                <w:b/>
              </w:rPr>
              <w:t>No</w:t>
            </w:r>
          </w:p>
        </w:tc>
      </w:tr>
      <w:tr w:rsidR="007525D9" w:rsidRPr="00CD432F" w:rsidTr="00834C48">
        <w:tc>
          <w:tcPr>
            <w:tcW w:w="13008" w:type="dxa"/>
          </w:tcPr>
          <w:p w:rsidR="007525D9" w:rsidRPr="00CD432F" w:rsidRDefault="007525D9" w:rsidP="007525D9">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7525D9" w:rsidRPr="00B21C52" w:rsidRDefault="007525D9" w:rsidP="00834C48">
            <w:pPr>
              <w:jc w:val="center"/>
              <w:rPr>
                <w:b/>
              </w:rPr>
            </w:pPr>
            <w:r>
              <w:rPr>
                <w:b/>
              </w:rPr>
              <w:t>North-east</w:t>
            </w:r>
          </w:p>
        </w:tc>
      </w:tr>
    </w:tbl>
    <w:p w:rsidR="007525D9" w:rsidRPr="00CD432F" w:rsidRDefault="007525D9" w:rsidP="007525D9">
      <w:pPr>
        <w:ind w:left="720"/>
        <w:contextualSpacing/>
      </w:pPr>
    </w:p>
    <w:p w:rsidR="007525D9" w:rsidRPr="00CD432F" w:rsidRDefault="007525D9" w:rsidP="007525D9">
      <w:pPr>
        <w:ind w:left="720"/>
        <w:contextualSpacing/>
      </w:pPr>
    </w:p>
    <w:p w:rsidR="007525D9" w:rsidRPr="00C1109B" w:rsidRDefault="007525D9" w:rsidP="007525D9">
      <w:pPr>
        <w:numPr>
          <w:ilvl w:val="0"/>
          <w:numId w:val="7"/>
        </w:numPr>
        <w:ind w:left="720" w:hanging="360"/>
        <w:contextualSpacing/>
      </w:pPr>
      <w:r w:rsidRPr="00CD432F">
        <w:t>Site Proximity to Designated Natural Environment Features</w:t>
      </w:r>
    </w:p>
    <w:p w:rsidR="007525D9" w:rsidRPr="00CD432F" w:rsidRDefault="007525D9" w:rsidP="007525D9">
      <w:pPr>
        <w:ind w:left="720"/>
        <w:contextualSpacing/>
        <w:rPr>
          <w:b/>
        </w:rPr>
      </w:pPr>
    </w:p>
    <w:tbl>
      <w:tblPr>
        <w:tblStyle w:val="TableGrid"/>
        <w:tblW w:w="14425" w:type="dxa"/>
        <w:tblLook w:val="04A0" w:firstRow="1" w:lastRow="0" w:firstColumn="1" w:lastColumn="0" w:noHBand="0" w:noVBand="1"/>
      </w:tblPr>
      <w:tblGrid>
        <w:gridCol w:w="13008"/>
        <w:gridCol w:w="1417"/>
      </w:tblGrid>
      <w:tr w:rsidR="007525D9" w:rsidRPr="00CD432F" w:rsidTr="00834C48">
        <w:tc>
          <w:tcPr>
            <w:tcW w:w="13008" w:type="dxa"/>
          </w:tcPr>
          <w:p w:rsidR="007525D9" w:rsidRPr="00CD432F" w:rsidRDefault="007525D9" w:rsidP="007525D9">
            <w:pPr>
              <w:numPr>
                <w:ilvl w:val="0"/>
                <w:numId w:val="5"/>
              </w:numPr>
              <w:contextualSpacing/>
              <w:jc w:val="both"/>
            </w:pPr>
            <w:r w:rsidRPr="00CD432F">
              <w:t>Site is likely to have potential to harm the special qualities of the designated lands</w:t>
            </w:r>
            <w:r>
              <w:t xml:space="preserve">capes of the SPA, SAC or </w:t>
            </w:r>
            <w:proofErr w:type="spellStart"/>
            <w:r>
              <w:t>Ramsar</w:t>
            </w:r>
            <w:proofErr w:type="spellEnd"/>
            <w:r>
              <w:t xml:space="preserve">, and any harm cannot be </w:t>
            </w:r>
            <w:proofErr w:type="gramStart"/>
            <w:r>
              <w:t>mitigated</w:t>
            </w:r>
            <w:proofErr w:type="gramEnd"/>
            <w:r>
              <w:t xml:space="preserve"> against.</w:t>
            </w:r>
          </w:p>
          <w:p w:rsidR="007525D9" w:rsidRPr="00CD432F" w:rsidRDefault="007525D9" w:rsidP="00834C48"/>
        </w:tc>
        <w:tc>
          <w:tcPr>
            <w:tcW w:w="1417" w:type="dxa"/>
          </w:tcPr>
          <w:p w:rsidR="007525D9" w:rsidRPr="00CD432F" w:rsidRDefault="007525D9" w:rsidP="00834C48">
            <w:pPr>
              <w:jc w:val="center"/>
              <w:rPr>
                <w:b/>
              </w:rPr>
            </w:pPr>
            <w:r>
              <w:rPr>
                <w:b/>
              </w:rPr>
              <w:t>No</w:t>
            </w:r>
          </w:p>
        </w:tc>
      </w:tr>
      <w:tr w:rsidR="007525D9" w:rsidRPr="00CD432F" w:rsidTr="00834C48">
        <w:tc>
          <w:tcPr>
            <w:tcW w:w="13008" w:type="dxa"/>
          </w:tcPr>
          <w:p w:rsidR="007525D9" w:rsidRPr="00CD432F" w:rsidRDefault="007525D9" w:rsidP="007525D9">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7525D9" w:rsidRPr="00CD432F" w:rsidRDefault="007525D9" w:rsidP="00834C48">
            <w:pPr>
              <w:jc w:val="center"/>
              <w:rPr>
                <w:b/>
              </w:rPr>
            </w:pPr>
            <w:r>
              <w:rPr>
                <w:b/>
              </w:rPr>
              <w:t>North-east</w:t>
            </w:r>
          </w:p>
        </w:tc>
      </w:tr>
    </w:tbl>
    <w:p w:rsidR="007525D9" w:rsidRPr="00CD432F" w:rsidRDefault="007525D9" w:rsidP="007525D9"/>
    <w:p w:rsidR="007525D9" w:rsidRPr="00C1109B" w:rsidRDefault="007525D9" w:rsidP="007525D9">
      <w:pPr>
        <w:numPr>
          <w:ilvl w:val="0"/>
          <w:numId w:val="7"/>
        </w:numPr>
        <w:ind w:left="720" w:hanging="360"/>
        <w:contextualSpacing/>
      </w:pPr>
      <w:r w:rsidRPr="00CD432F">
        <w:t xml:space="preserve">Site Position in relation to </w:t>
      </w:r>
      <w:r>
        <w:t>Health &amp; Safety Executive (</w:t>
      </w:r>
      <w:r w:rsidRPr="00CD432F">
        <w:t>HSE</w:t>
      </w:r>
      <w:r>
        <w:t>)</w:t>
      </w:r>
      <w:r w:rsidRPr="00CD432F">
        <w:t xml:space="preserve"> Zone</w:t>
      </w:r>
    </w:p>
    <w:p w:rsidR="007525D9" w:rsidRPr="00CD432F" w:rsidRDefault="007525D9" w:rsidP="007525D9">
      <w:pPr>
        <w:ind w:left="720"/>
        <w:contextualSpacing/>
        <w:rPr>
          <w:b/>
        </w:rPr>
      </w:pPr>
    </w:p>
    <w:tbl>
      <w:tblPr>
        <w:tblStyle w:val="TableGrid"/>
        <w:tblW w:w="14425" w:type="dxa"/>
        <w:tblLook w:val="04A0" w:firstRow="1" w:lastRow="0" w:firstColumn="1" w:lastColumn="0" w:noHBand="0" w:noVBand="1"/>
      </w:tblPr>
      <w:tblGrid>
        <w:gridCol w:w="13008"/>
        <w:gridCol w:w="1417"/>
      </w:tblGrid>
      <w:tr w:rsidR="007525D9" w:rsidRPr="00CD432F" w:rsidTr="00834C48">
        <w:tc>
          <w:tcPr>
            <w:tcW w:w="13008" w:type="dxa"/>
          </w:tcPr>
          <w:p w:rsidR="007525D9" w:rsidRPr="00CD432F" w:rsidRDefault="007525D9" w:rsidP="007525D9">
            <w:pPr>
              <w:numPr>
                <w:ilvl w:val="0"/>
                <w:numId w:val="2"/>
              </w:numPr>
              <w:contextualSpacing/>
            </w:pPr>
            <w:r w:rsidRPr="00CD432F">
              <w:t>The site lies in the outer H</w:t>
            </w:r>
            <w:r>
              <w:t xml:space="preserve">ealth &amp; </w:t>
            </w:r>
            <w:r w:rsidRPr="00CD432F">
              <w:t>S</w:t>
            </w:r>
            <w:r>
              <w:t xml:space="preserve">afety </w:t>
            </w:r>
            <w:r w:rsidRPr="00CD432F">
              <w:t>E</w:t>
            </w:r>
            <w:r>
              <w:t>xecutive</w:t>
            </w:r>
            <w:r w:rsidRPr="00CD432F">
              <w:t xml:space="preserve"> zone, or not in an HSE zone.</w:t>
            </w:r>
          </w:p>
        </w:tc>
        <w:tc>
          <w:tcPr>
            <w:tcW w:w="1417" w:type="dxa"/>
          </w:tcPr>
          <w:p w:rsidR="007525D9" w:rsidRPr="00CD432F" w:rsidRDefault="007525D9" w:rsidP="00834C48">
            <w:pPr>
              <w:jc w:val="center"/>
              <w:rPr>
                <w:b/>
              </w:rPr>
            </w:pPr>
            <w:r>
              <w:rPr>
                <w:b/>
              </w:rPr>
              <w:t>Yes</w:t>
            </w:r>
          </w:p>
        </w:tc>
      </w:tr>
      <w:tr w:rsidR="007525D9" w:rsidRPr="00CD432F" w:rsidTr="00834C48">
        <w:tc>
          <w:tcPr>
            <w:tcW w:w="13008" w:type="dxa"/>
          </w:tcPr>
          <w:p w:rsidR="007525D9" w:rsidRPr="00CD432F" w:rsidRDefault="007525D9" w:rsidP="007525D9">
            <w:pPr>
              <w:numPr>
                <w:ilvl w:val="0"/>
                <w:numId w:val="2"/>
              </w:numPr>
              <w:contextualSpacing/>
            </w:pPr>
            <w:r>
              <w:t>The site lies in the Health &amp; Safety Executive</w:t>
            </w:r>
            <w:r w:rsidRPr="00CD432F">
              <w:t xml:space="preserve"> middle zone.</w:t>
            </w:r>
          </w:p>
        </w:tc>
        <w:tc>
          <w:tcPr>
            <w:tcW w:w="1417" w:type="dxa"/>
          </w:tcPr>
          <w:p w:rsidR="007525D9" w:rsidRPr="00CD432F" w:rsidRDefault="007525D9" w:rsidP="00834C48">
            <w:pPr>
              <w:jc w:val="center"/>
            </w:pPr>
          </w:p>
        </w:tc>
      </w:tr>
      <w:tr w:rsidR="007525D9" w:rsidRPr="00CD432F" w:rsidTr="00834C48">
        <w:tc>
          <w:tcPr>
            <w:tcW w:w="13008" w:type="dxa"/>
          </w:tcPr>
          <w:p w:rsidR="007525D9" w:rsidRPr="00CD432F" w:rsidRDefault="007525D9" w:rsidP="007525D9">
            <w:pPr>
              <w:numPr>
                <w:ilvl w:val="0"/>
                <w:numId w:val="2"/>
              </w:numPr>
              <w:contextualSpacing/>
            </w:pPr>
            <w:r w:rsidRPr="00CD432F">
              <w:t>The site lies in the H</w:t>
            </w:r>
            <w:r>
              <w:t>ealth &amp; Safety Executive</w:t>
            </w:r>
            <w:r w:rsidRPr="00CD432F">
              <w:t xml:space="preserve"> inner zone.</w:t>
            </w:r>
          </w:p>
        </w:tc>
        <w:tc>
          <w:tcPr>
            <w:tcW w:w="1417" w:type="dxa"/>
          </w:tcPr>
          <w:p w:rsidR="007525D9" w:rsidRPr="00CD432F" w:rsidRDefault="007525D9" w:rsidP="00834C48">
            <w:pPr>
              <w:jc w:val="center"/>
            </w:pPr>
          </w:p>
        </w:tc>
      </w:tr>
    </w:tbl>
    <w:p w:rsidR="007525D9" w:rsidRDefault="007525D9" w:rsidP="007525D9"/>
    <w:p w:rsidR="007525D9" w:rsidRDefault="007525D9" w:rsidP="007525D9">
      <w:pPr>
        <w:jc w:val="both"/>
      </w:pPr>
      <w:r w:rsidRPr="00F62E2A">
        <w:rPr>
          <w:b/>
          <w:i/>
        </w:rPr>
        <w:lastRenderedPageBreak/>
        <w:t>Result:</w:t>
      </w:r>
      <w:r w:rsidRPr="00C1109B">
        <w:rPr>
          <w:b/>
        </w:rPr>
        <w:t xml:space="preserve"> </w:t>
      </w:r>
      <w:r w:rsidRPr="00F62E2A">
        <w:t>The</w:t>
      </w:r>
      <w:r>
        <w:t xml:space="preserve"> site passes all four District Level Analyses. After a comparison with other Pool of Site options in Settle, the site is considered suitable as one of the </w:t>
      </w:r>
      <w:r w:rsidRPr="00F62E2A">
        <w:rPr>
          <w:b/>
        </w:rPr>
        <w:t>Preferred Sites</w:t>
      </w:r>
      <w:r>
        <w:t xml:space="preserve"> in this settlement. </w:t>
      </w:r>
    </w:p>
    <w:p w:rsidR="007525D9" w:rsidRPr="00776515" w:rsidRDefault="007525D9" w:rsidP="007525D9">
      <w:pPr>
        <w:rPr>
          <w:b/>
          <w:sz w:val="24"/>
          <w:szCs w:val="24"/>
          <w:u w:val="single"/>
        </w:rPr>
      </w:pPr>
      <w:r w:rsidRPr="00776515">
        <w:rPr>
          <w:b/>
          <w:sz w:val="24"/>
          <w:szCs w:val="24"/>
          <w:u w:val="single"/>
        </w:rPr>
        <w:t xml:space="preserve">Narrative of Site Analysis </w:t>
      </w:r>
    </w:p>
    <w:p w:rsidR="007525D9" w:rsidRDefault="007525D9" w:rsidP="004D3A4B">
      <w:pPr>
        <w:spacing w:line="240" w:lineRule="auto"/>
        <w:jc w:val="both"/>
      </w:pPr>
      <w:r>
        <w:t xml:space="preserve">Site SG079 has numerous positive aspects which have determined the site’s selection as a Preferred Site.  </w:t>
      </w:r>
      <w:r w:rsidRPr="00AB4CCB">
        <w:t>The site</w:t>
      </w:r>
      <w:r>
        <w:t xml:space="preserve"> is situated directly to the nor</w:t>
      </w:r>
      <w:r w:rsidRPr="00AB4CCB">
        <w:t>th</w:t>
      </w:r>
      <w:r>
        <w:t>-east</w:t>
      </w:r>
      <w:r w:rsidRPr="00AB4CCB">
        <w:t xml:space="preserve"> of the town’s built up area, which allows easy access to the town’s services, and hence improving connectivity and reducing the need for travel. The site has an existing, safe access with good sightlines available. </w:t>
      </w:r>
      <w:r>
        <w:t>The site also performs satisfactorily regarding the District level analysis.</w:t>
      </w:r>
    </w:p>
    <w:p w:rsidR="00276514" w:rsidRDefault="007525D9" w:rsidP="00276514">
      <w:pPr>
        <w:autoSpaceDE w:val="0"/>
        <w:autoSpaceDN w:val="0"/>
        <w:adjustRightInd w:val="0"/>
        <w:spacing w:after="0" w:line="240" w:lineRule="auto"/>
        <w:rPr>
          <w:rFonts w:cstheme="minorHAnsi"/>
        </w:rPr>
      </w:pPr>
      <w:r>
        <w:t>T</w:t>
      </w:r>
      <w:r w:rsidRPr="00AB4CCB">
        <w:t>he site is within close proximity to the National Park boundary to the east</w:t>
      </w:r>
      <w:r>
        <w:t xml:space="preserve"> and has been identified in the Settle Carlisle Conservation Area appraisal as </w:t>
      </w:r>
      <w:r w:rsidRPr="00276514">
        <w:rPr>
          <w:rFonts w:cstheme="minorHAnsi"/>
        </w:rPr>
        <w:t xml:space="preserve">having </w:t>
      </w:r>
      <w:r w:rsidR="00276514" w:rsidRPr="00276514">
        <w:rPr>
          <w:rFonts w:cstheme="minorHAnsi"/>
        </w:rPr>
        <w:t>an</w:t>
      </w:r>
      <w:r w:rsidRPr="00276514">
        <w:rPr>
          <w:rFonts w:cstheme="minorHAnsi"/>
        </w:rPr>
        <w:t xml:space="preserve"> impact on the conservation area to the west.  As </w:t>
      </w:r>
      <w:r w:rsidR="00276514" w:rsidRPr="00276514">
        <w:rPr>
          <w:rFonts w:cstheme="minorHAnsi"/>
        </w:rPr>
        <w:t>urban form is not wholly alien to this railway conservation</w:t>
      </w:r>
      <w:r w:rsidR="00276514">
        <w:rPr>
          <w:rFonts w:cstheme="minorHAnsi"/>
        </w:rPr>
        <w:t xml:space="preserve"> area</w:t>
      </w:r>
      <w:r w:rsidR="00276514" w:rsidRPr="00276514">
        <w:rPr>
          <w:rFonts w:cstheme="minorHAnsi"/>
        </w:rPr>
        <w:t xml:space="preserve">, the development of the </w:t>
      </w:r>
      <w:r w:rsidRPr="00276514">
        <w:rPr>
          <w:rFonts w:cstheme="minorHAnsi"/>
        </w:rPr>
        <w:t>site</w:t>
      </w:r>
      <w:r w:rsidR="00276514" w:rsidRPr="00276514">
        <w:rPr>
          <w:rFonts w:cstheme="minorHAnsi"/>
        </w:rPr>
        <w:t xml:space="preserve"> would not have a huge adverse impact</w:t>
      </w:r>
      <w:r w:rsidR="00276514">
        <w:rPr>
          <w:rFonts w:cstheme="minorHAnsi"/>
        </w:rPr>
        <w:t xml:space="preserve"> on this heritage asset.  Site development could have the added benefit of restoring</w:t>
      </w:r>
      <w:r w:rsidR="00276514" w:rsidRPr="00276514">
        <w:rPr>
          <w:rFonts w:cstheme="minorHAnsi"/>
        </w:rPr>
        <w:t xml:space="preserve"> and open</w:t>
      </w:r>
      <w:r w:rsidR="00276514">
        <w:rPr>
          <w:rFonts w:cstheme="minorHAnsi"/>
        </w:rPr>
        <w:t>ing</w:t>
      </w:r>
      <w:r w:rsidR="00276514" w:rsidRPr="00276514">
        <w:rPr>
          <w:rFonts w:cstheme="minorHAnsi"/>
        </w:rPr>
        <w:t xml:space="preserve"> up the tunnel through the embankment immediately to the west of the west boundary of the site.  This tunnel is an important feature of the railway but is almost hidden</w:t>
      </w:r>
      <w:r w:rsidR="00276514">
        <w:rPr>
          <w:rFonts w:cstheme="minorHAnsi"/>
        </w:rPr>
        <w:t xml:space="preserve"> </w:t>
      </w:r>
      <w:r w:rsidR="00276514" w:rsidRPr="00276514">
        <w:rPr>
          <w:rFonts w:cstheme="minorHAnsi"/>
        </w:rPr>
        <w:t>from view at present and is not used.  Opening up and restor</w:t>
      </w:r>
      <w:r w:rsidR="00276514">
        <w:rPr>
          <w:rFonts w:cstheme="minorHAnsi"/>
        </w:rPr>
        <w:t>ing</w:t>
      </w:r>
      <w:r w:rsidR="00276514" w:rsidRPr="00276514">
        <w:rPr>
          <w:rFonts w:cstheme="minorHAnsi"/>
        </w:rPr>
        <w:t xml:space="preserve"> the tunnel would enhance the heritage asset of the tunnel and provide much improved pedestrian permeability between each side of the railway.  </w:t>
      </w:r>
      <w:r w:rsidR="00276514">
        <w:rPr>
          <w:rFonts w:cstheme="minorHAnsi"/>
        </w:rPr>
        <w:t xml:space="preserve"> Considering the proximity of the National Park to the east, development on site should </w:t>
      </w:r>
      <w:r w:rsidRPr="00276514">
        <w:rPr>
          <w:rFonts w:cstheme="minorHAnsi"/>
        </w:rPr>
        <w:t xml:space="preserve">be set back from the National Park boundary and include </w:t>
      </w:r>
      <w:r w:rsidR="006A505B">
        <w:rPr>
          <w:rFonts w:cstheme="minorHAnsi"/>
        </w:rPr>
        <w:t>an area</w:t>
      </w:r>
      <w:r w:rsidRPr="00276514">
        <w:rPr>
          <w:rFonts w:cstheme="minorHAnsi"/>
        </w:rPr>
        <w:t xml:space="preserve"> of green infrastructure to protect this </w:t>
      </w:r>
      <w:r w:rsidR="006A505B">
        <w:rPr>
          <w:rFonts w:cstheme="minorHAnsi"/>
        </w:rPr>
        <w:t>part of the site</w:t>
      </w:r>
      <w:r w:rsidRPr="00276514">
        <w:rPr>
          <w:rFonts w:cstheme="minorHAnsi"/>
        </w:rPr>
        <w:t xml:space="preserve"> from future development.  </w:t>
      </w:r>
      <w:r w:rsidR="00CB2830">
        <w:rPr>
          <w:rFonts w:cstheme="minorHAnsi"/>
        </w:rPr>
        <w:t xml:space="preserve">Considering the proximity of the grade II listed Barrel Sykes Farmhouse to the north, development on site should be set back from the northern boundary and include </w:t>
      </w:r>
      <w:r w:rsidR="006A505B">
        <w:rPr>
          <w:rFonts w:cstheme="minorHAnsi"/>
        </w:rPr>
        <w:t>an area</w:t>
      </w:r>
      <w:r w:rsidR="00CB2830">
        <w:rPr>
          <w:rFonts w:cstheme="minorHAnsi"/>
        </w:rPr>
        <w:t xml:space="preserve"> of green infrastructure, enclosed by dry stone walls to mimic existing </w:t>
      </w:r>
      <w:r w:rsidR="006A505B">
        <w:rPr>
          <w:rFonts w:cstheme="minorHAnsi"/>
        </w:rPr>
        <w:t>field patterns</w:t>
      </w:r>
      <w:r w:rsidR="00CB2830">
        <w:rPr>
          <w:rFonts w:cstheme="minorHAnsi"/>
        </w:rPr>
        <w:t xml:space="preserve"> to the north at Barrel Sykes Farm.  </w:t>
      </w:r>
      <w:r w:rsidR="006A505B">
        <w:rPr>
          <w:rFonts w:cstheme="minorHAnsi"/>
        </w:rPr>
        <w:t xml:space="preserve">These areas of green infrastructure will </w:t>
      </w:r>
      <w:r w:rsidR="00D1411F">
        <w:rPr>
          <w:rFonts w:cstheme="minorHAnsi"/>
        </w:rPr>
        <w:t xml:space="preserve">also provide </w:t>
      </w:r>
      <w:r w:rsidR="00D1411F" w:rsidRPr="006A505B">
        <w:t xml:space="preserve">footpath links to the railway tunnel footpath to the north and the National Park highway/footpath and PROW to the east </w:t>
      </w:r>
      <w:r w:rsidR="00D1411F">
        <w:t xml:space="preserve">and </w:t>
      </w:r>
      <w:r w:rsidR="006A505B" w:rsidRPr="006A505B">
        <w:t>recreation mitigation for the Ingleborough Complex Special Area of Conservation (SAC) and Craven Limestone Complex Special Area of Conservation (SAC).</w:t>
      </w:r>
    </w:p>
    <w:p w:rsidR="006A505B" w:rsidRPr="00276514" w:rsidRDefault="006A505B" w:rsidP="00276514">
      <w:pPr>
        <w:autoSpaceDE w:val="0"/>
        <w:autoSpaceDN w:val="0"/>
        <w:adjustRightInd w:val="0"/>
        <w:spacing w:after="0" w:line="240" w:lineRule="auto"/>
        <w:rPr>
          <w:rFonts w:cstheme="minorHAnsi"/>
        </w:rPr>
      </w:pPr>
    </w:p>
    <w:p w:rsidR="007525D9" w:rsidRPr="00C624CD" w:rsidRDefault="006A505B" w:rsidP="007525D9">
      <w:pPr>
        <w:rPr>
          <w:b/>
        </w:rPr>
      </w:pPr>
      <w:r>
        <w:rPr>
          <w:b/>
          <w:i/>
        </w:rPr>
        <w:t>Approximate Site</w:t>
      </w:r>
      <w:r w:rsidR="007525D9" w:rsidRPr="00C624CD">
        <w:rPr>
          <w:b/>
          <w:i/>
        </w:rPr>
        <w:t xml:space="preserve"> Area:</w:t>
      </w:r>
      <w:r w:rsidR="007525D9" w:rsidRPr="00C624CD">
        <w:rPr>
          <w:b/>
        </w:rPr>
        <w:t xml:space="preserve"> </w:t>
      </w:r>
      <w:r w:rsidRPr="006A505B">
        <w:t>1.7</w:t>
      </w:r>
      <w:r w:rsidR="007525D9" w:rsidRPr="00C624CD">
        <w:t xml:space="preserve"> hectares (</w:t>
      </w:r>
      <w:r w:rsidR="000F2857">
        <w:t>a</w:t>
      </w:r>
      <w:r>
        <w:t>ll of the</w:t>
      </w:r>
      <w:r w:rsidR="007525D9" w:rsidRPr="00C624CD">
        <w:t xml:space="preserve"> available SHLAA site).</w:t>
      </w:r>
    </w:p>
    <w:p w:rsidR="007525D9" w:rsidRDefault="00F11D3F" w:rsidP="007525D9">
      <w:pPr>
        <w:rPr>
          <w:b/>
        </w:rPr>
      </w:pPr>
      <w:r>
        <w:rPr>
          <w:b/>
          <w:i/>
        </w:rPr>
        <w:t xml:space="preserve">Approximate </w:t>
      </w:r>
      <w:r w:rsidR="007525D9" w:rsidRPr="00C624CD">
        <w:rPr>
          <w:b/>
          <w:i/>
        </w:rPr>
        <w:t>Number of Dwellings:</w:t>
      </w:r>
      <w:r w:rsidR="007525D9" w:rsidRPr="00C624CD">
        <w:rPr>
          <w:b/>
        </w:rPr>
        <w:t xml:space="preserve"> </w:t>
      </w:r>
      <w:r w:rsidR="00C344F2">
        <w:t>26</w:t>
      </w:r>
      <w:r w:rsidR="007525D9" w:rsidRPr="00C624CD">
        <w:t xml:space="preserve"> dwellings</w:t>
      </w:r>
    </w:p>
    <w:p w:rsidR="007525D9" w:rsidRDefault="007525D9" w:rsidP="007525D9">
      <w:pPr>
        <w:rPr>
          <w:b/>
          <w:i/>
        </w:rPr>
      </w:pPr>
      <w:r w:rsidRPr="007C4CD1">
        <w:rPr>
          <w:b/>
          <w:i/>
        </w:rPr>
        <w:t>Development Principles</w:t>
      </w:r>
      <w:r w:rsidR="00DB6773">
        <w:rPr>
          <w:b/>
          <w:i/>
        </w:rPr>
        <w:t xml:space="preserve"> for SG079</w:t>
      </w:r>
      <w:r w:rsidRPr="007C4CD1">
        <w:rPr>
          <w:b/>
          <w:i/>
        </w:rPr>
        <w:t xml:space="preserve">: </w:t>
      </w:r>
    </w:p>
    <w:p w:rsidR="000F2857" w:rsidRPr="000F2857" w:rsidRDefault="000F2857" w:rsidP="000F2857">
      <w:pPr>
        <w:numPr>
          <w:ilvl w:val="0"/>
          <w:numId w:val="10"/>
        </w:numPr>
        <w:spacing w:before="120"/>
        <w:ind w:left="425"/>
        <w:contextualSpacing/>
        <w:rPr>
          <w:rFonts w:eastAsia="Calibri" w:cstheme="minorHAnsi"/>
        </w:rPr>
      </w:pPr>
      <w:r w:rsidRPr="000F2857">
        <w:rPr>
          <w:rFonts w:eastAsia="Calibri" w:cstheme="minorHAnsi"/>
        </w:rPr>
        <w:t xml:space="preserve">This is a </w:t>
      </w:r>
      <w:proofErr w:type="gramStart"/>
      <w:r w:rsidRPr="000F2857">
        <w:rPr>
          <w:rFonts w:eastAsia="Calibri" w:cstheme="minorHAnsi"/>
        </w:rPr>
        <w:t>greenfield</w:t>
      </w:r>
      <w:proofErr w:type="gramEnd"/>
      <w:r w:rsidRPr="000F2857">
        <w:rPr>
          <w:rFonts w:eastAsia="Calibri" w:cstheme="minorHAnsi"/>
        </w:rPr>
        <w:t xml:space="preserve"> site in a prominent location on the edge of Settle. Development proposals for this site will incorporate landscape and recreation mitigation(s) including a green infrastructure area of approximately 0.9 ha along the eastern and northern boundaries of the site to provide landscape mitigation for the Yorkshire Dales National Park and the adjacent grade II listed building, Barrel Sykes Farm.  The areas of green infrastructure will also deliver recreational walking opportunities aimed at relieving pressure on the </w:t>
      </w:r>
      <w:proofErr w:type="spellStart"/>
      <w:r w:rsidRPr="000F2857">
        <w:rPr>
          <w:rFonts w:eastAsia="Calibri" w:cstheme="minorHAnsi"/>
        </w:rPr>
        <w:t>Ingleborough</w:t>
      </w:r>
      <w:proofErr w:type="spellEnd"/>
      <w:r w:rsidRPr="000F2857">
        <w:rPr>
          <w:rFonts w:eastAsia="Calibri" w:cstheme="minorHAnsi"/>
        </w:rPr>
        <w:t xml:space="preserve"> Complex Special Area of Conservation (SAC) and Craven Limestone Complex Special Area of Conservation (SAC) by providing footpath links to the railway tunnel footpath to the north and the National Park </w:t>
      </w:r>
      <w:r w:rsidRPr="000F2857">
        <w:rPr>
          <w:rFonts w:eastAsia="Calibri" w:cstheme="minorHAnsi"/>
        </w:rPr>
        <w:lastRenderedPageBreak/>
        <w:t>highway/footpath and PROW to the east. The layout of the site will be designed to leave gaps through the site to retain views from the National Park to the Grade II listed Barrel Sykes Farm and the undesignated heritage asset of Watershed Mill chimney beyond. The layout of the site will also ensure that views from Town Head Way north towards Barrel Sykes Farm and the Water</w:t>
      </w:r>
      <w:r w:rsidRPr="000F2857">
        <w:rPr>
          <w:rFonts w:eastAsia="Calibri" w:cstheme="minorHAnsi"/>
        </w:rPr>
        <w:t>shed Mill chimney are retained;</w:t>
      </w:r>
    </w:p>
    <w:p w:rsidR="000F2857" w:rsidRPr="000F2857" w:rsidRDefault="000F2857" w:rsidP="000F2857">
      <w:pPr>
        <w:spacing w:before="120"/>
        <w:ind w:left="425"/>
        <w:contextualSpacing/>
        <w:rPr>
          <w:rFonts w:eastAsia="Calibri" w:cstheme="minorHAnsi"/>
        </w:rPr>
      </w:pPr>
    </w:p>
    <w:p w:rsidR="000F2857" w:rsidRPr="000F2857" w:rsidRDefault="000F2857" w:rsidP="000F2857">
      <w:pPr>
        <w:numPr>
          <w:ilvl w:val="0"/>
          <w:numId w:val="10"/>
        </w:numPr>
        <w:spacing w:before="120" w:after="120"/>
        <w:ind w:left="425"/>
        <w:contextualSpacing/>
        <w:rPr>
          <w:rFonts w:eastAsia="Calibri" w:cstheme="minorHAnsi"/>
          <w:color w:val="000000"/>
        </w:rPr>
      </w:pPr>
      <w:r w:rsidRPr="000F2857">
        <w:rPr>
          <w:rFonts w:eastAsia="Calibri" w:cstheme="minorHAnsi"/>
          <w:color w:val="000000"/>
        </w:rPr>
        <w:t xml:space="preserve">Siting and design of development on the site to conserve the significance of the adjacent Settle-Carlisle Railway Conservation Area to the west and the grade II listed </w:t>
      </w:r>
      <w:r w:rsidRPr="000F2857">
        <w:rPr>
          <w:rFonts w:eastAsia="Calibri" w:cstheme="minorHAnsi"/>
          <w:color w:val="000000"/>
        </w:rPr>
        <w:t>Barrel Sykes Farm to the north;</w:t>
      </w:r>
    </w:p>
    <w:p w:rsidR="000F2857" w:rsidRPr="000F2857" w:rsidRDefault="000F2857" w:rsidP="000F2857">
      <w:pPr>
        <w:spacing w:before="120" w:after="120"/>
        <w:ind w:left="425"/>
        <w:contextualSpacing/>
        <w:rPr>
          <w:rFonts w:eastAsia="Calibri" w:cstheme="minorHAnsi"/>
          <w:color w:val="000000"/>
        </w:rPr>
      </w:pPr>
    </w:p>
    <w:p w:rsidR="000F2857" w:rsidRPr="000F2857" w:rsidRDefault="000F2857" w:rsidP="000F2857">
      <w:pPr>
        <w:numPr>
          <w:ilvl w:val="0"/>
          <w:numId w:val="10"/>
        </w:numPr>
        <w:spacing w:before="120" w:after="120"/>
        <w:ind w:left="425"/>
        <w:contextualSpacing/>
        <w:rPr>
          <w:rFonts w:eastAsia="Calibri" w:cstheme="minorHAnsi"/>
          <w:color w:val="000000"/>
        </w:rPr>
      </w:pPr>
      <w:r w:rsidRPr="000F2857">
        <w:rPr>
          <w:rFonts w:eastAsia="Calibri" w:cstheme="minorHAnsi"/>
          <w:color w:val="000000"/>
        </w:rPr>
        <w:t>The existing dry stone boundary walls will be retained. A new dry stone boundary wall will be created east to west across the site to enclose the northern area of green infrastructure in order to maintain the setting of the adjacent heritage asset of the grade II listed Barrel Sykes Farm and to provide a clear de</w:t>
      </w:r>
      <w:r w:rsidRPr="000F2857">
        <w:rPr>
          <w:rFonts w:eastAsia="Calibri" w:cstheme="minorHAnsi"/>
          <w:color w:val="000000"/>
        </w:rPr>
        <w:t>finable edge to the development;</w:t>
      </w:r>
    </w:p>
    <w:p w:rsidR="000F2857" w:rsidRPr="000F2857" w:rsidRDefault="000F2857" w:rsidP="000F2857">
      <w:pPr>
        <w:spacing w:before="120" w:after="120"/>
        <w:ind w:left="425"/>
        <w:contextualSpacing/>
        <w:rPr>
          <w:rFonts w:eastAsia="Calibri" w:cstheme="minorHAnsi"/>
          <w:color w:val="000000"/>
        </w:rPr>
      </w:pPr>
    </w:p>
    <w:p w:rsidR="000F2857" w:rsidRPr="000F2857" w:rsidRDefault="000F2857" w:rsidP="000F2857">
      <w:pPr>
        <w:numPr>
          <w:ilvl w:val="0"/>
          <w:numId w:val="10"/>
        </w:numPr>
        <w:spacing w:before="120" w:after="120"/>
        <w:ind w:left="425"/>
        <w:contextualSpacing/>
        <w:rPr>
          <w:rFonts w:eastAsia="Calibri" w:cstheme="minorHAnsi"/>
          <w:color w:val="000000"/>
        </w:rPr>
      </w:pPr>
      <w:r w:rsidRPr="000F2857">
        <w:rPr>
          <w:rFonts w:eastAsia="Calibri" w:cstheme="minorHAnsi"/>
          <w:color w:val="000000"/>
        </w:rPr>
        <w:t>Development proposals on site will include an improved and enhanced pedestrian link from the site via the adjacent tunnel</w:t>
      </w:r>
      <w:r w:rsidRPr="000F2857">
        <w:rPr>
          <w:rFonts w:eastAsia="Calibri" w:cstheme="minorHAnsi"/>
          <w:color w:val="000000"/>
        </w:rPr>
        <w:t xml:space="preserve"> through the railway embankment;</w:t>
      </w:r>
    </w:p>
    <w:p w:rsidR="000F2857" w:rsidRPr="000F2857" w:rsidRDefault="000F2857" w:rsidP="000F2857">
      <w:pPr>
        <w:spacing w:before="120" w:after="120"/>
        <w:ind w:left="425"/>
        <w:contextualSpacing/>
        <w:rPr>
          <w:rFonts w:eastAsia="Calibri" w:cstheme="minorHAnsi"/>
          <w:color w:val="000000"/>
        </w:rPr>
      </w:pPr>
    </w:p>
    <w:p w:rsidR="000F2857" w:rsidRPr="000F2857" w:rsidRDefault="000F2857" w:rsidP="000F2857">
      <w:pPr>
        <w:numPr>
          <w:ilvl w:val="0"/>
          <w:numId w:val="10"/>
        </w:numPr>
        <w:spacing w:before="120" w:after="120"/>
        <w:ind w:left="425"/>
        <w:contextualSpacing/>
        <w:rPr>
          <w:rFonts w:eastAsia="Calibri" w:cstheme="minorHAnsi"/>
          <w:color w:val="000000"/>
        </w:rPr>
      </w:pPr>
      <w:r w:rsidRPr="000F2857">
        <w:rPr>
          <w:rFonts w:eastAsia="Calibri" w:cstheme="minorHAnsi"/>
          <w:color w:val="000000"/>
        </w:rPr>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sidRPr="000F2857">
        <w:rPr>
          <w:rFonts w:eastAsia="Calibri" w:cstheme="minorHAnsi"/>
          <w:color w:val="000000"/>
        </w:rPr>
        <w:t>appropriately reduced or offset;</w:t>
      </w:r>
      <w:bookmarkStart w:id="0" w:name="_GoBack"/>
      <w:bookmarkEnd w:id="0"/>
    </w:p>
    <w:p w:rsidR="000F2857" w:rsidRPr="000F2857" w:rsidRDefault="000F2857" w:rsidP="000F2857">
      <w:pPr>
        <w:spacing w:before="120" w:after="120"/>
        <w:ind w:left="425"/>
        <w:contextualSpacing/>
        <w:rPr>
          <w:rFonts w:eastAsia="Calibri" w:cstheme="minorHAnsi"/>
          <w:color w:val="000000"/>
        </w:rPr>
      </w:pPr>
    </w:p>
    <w:p w:rsidR="000F2857" w:rsidRPr="000F2857" w:rsidRDefault="000F2857" w:rsidP="000F2857">
      <w:pPr>
        <w:numPr>
          <w:ilvl w:val="0"/>
          <w:numId w:val="10"/>
        </w:numPr>
        <w:spacing w:before="120" w:after="120"/>
        <w:ind w:left="425"/>
        <w:contextualSpacing/>
        <w:rPr>
          <w:rFonts w:eastAsia="Calibri" w:cstheme="minorHAnsi"/>
          <w:color w:val="000000"/>
        </w:rPr>
      </w:pPr>
      <w:r w:rsidRPr="000F2857">
        <w:rPr>
          <w:rFonts w:eastAsia="Calibri" w:cstheme="minorHAnsi"/>
          <w:color w:val="000000"/>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sidRPr="000F2857">
        <w:rPr>
          <w:rFonts w:eastAsia="Calibri" w:cstheme="minorHAnsi"/>
          <w:color w:val="000000"/>
        </w:rPr>
        <w:t>ncement effects are implemented;</w:t>
      </w:r>
    </w:p>
    <w:p w:rsidR="000F2857" w:rsidRPr="000F2857" w:rsidRDefault="000F2857" w:rsidP="000F2857">
      <w:pPr>
        <w:spacing w:before="120" w:after="120"/>
        <w:ind w:left="425"/>
        <w:contextualSpacing/>
        <w:rPr>
          <w:rFonts w:eastAsia="Calibri" w:cstheme="minorHAnsi"/>
          <w:b/>
          <w:color w:val="00B0F0"/>
          <w:u w:val="single"/>
        </w:rPr>
      </w:pPr>
    </w:p>
    <w:p w:rsidR="000F2857" w:rsidRPr="000F2857" w:rsidRDefault="000F2857" w:rsidP="000F2857">
      <w:pPr>
        <w:numPr>
          <w:ilvl w:val="0"/>
          <w:numId w:val="10"/>
        </w:numPr>
        <w:spacing w:before="120" w:after="120"/>
        <w:ind w:left="425"/>
        <w:contextualSpacing/>
        <w:rPr>
          <w:rFonts w:eastAsia="Calibri" w:cstheme="minorHAnsi"/>
          <w:color w:val="000000"/>
        </w:rPr>
      </w:pPr>
      <w:r w:rsidRPr="000F2857">
        <w:rPr>
          <w:rFonts w:eastAsia="Calibri" w:cstheme="minorHAnsi"/>
          <w:color w:val="000000"/>
        </w:rPr>
        <w:t>As the site is in a prominent location, development proposals will be carefully and sensitively designed to minimise visual impact on the character and appearance of the area, and include measures to minimise impacts on air qua</w:t>
      </w:r>
      <w:r w:rsidRPr="000F2857">
        <w:rPr>
          <w:rFonts w:eastAsia="Calibri" w:cstheme="minorHAnsi"/>
          <w:color w:val="000000"/>
        </w:rPr>
        <w:t>lity, noise and light pollution;</w:t>
      </w:r>
    </w:p>
    <w:p w:rsidR="000F2857" w:rsidRPr="000F2857" w:rsidRDefault="000F2857" w:rsidP="000F2857">
      <w:pPr>
        <w:ind w:left="720"/>
        <w:contextualSpacing/>
        <w:rPr>
          <w:rFonts w:eastAsia="Calibri" w:cstheme="minorHAnsi"/>
        </w:rPr>
      </w:pPr>
    </w:p>
    <w:p w:rsidR="000F2857" w:rsidRPr="000F2857" w:rsidRDefault="000F2857" w:rsidP="000F2857">
      <w:pPr>
        <w:numPr>
          <w:ilvl w:val="0"/>
          <w:numId w:val="10"/>
        </w:numPr>
        <w:spacing w:before="120" w:after="120"/>
        <w:ind w:left="425"/>
        <w:contextualSpacing/>
        <w:rPr>
          <w:rFonts w:eastAsia="Calibri" w:cstheme="minorHAnsi"/>
          <w:color w:val="000000"/>
        </w:rPr>
      </w:pPr>
      <w:r w:rsidRPr="000F2857">
        <w:rPr>
          <w:rFonts w:eastAsia="Calibri" w:cstheme="minorHAnsi"/>
        </w:rPr>
        <w:t>A surface water flood risk hazard has been identified within the northern part of the site.   Development proposals must therefore be supported by a Flood Risk Assessment and drainage strategy which has informed the design, layout and landscaping of the site. Proposals will incorporate Sustainable Drainage</w:t>
      </w:r>
      <w:r w:rsidRPr="000F2857">
        <w:rPr>
          <w:rFonts w:eastAsia="Calibri" w:cstheme="minorHAnsi"/>
        </w:rPr>
        <w:t xml:space="preserve"> Systems (</w:t>
      </w:r>
      <w:proofErr w:type="spellStart"/>
      <w:r w:rsidRPr="000F2857">
        <w:rPr>
          <w:rFonts w:eastAsia="Calibri" w:cstheme="minorHAnsi"/>
        </w:rPr>
        <w:t>SuDS</w:t>
      </w:r>
      <w:proofErr w:type="spellEnd"/>
      <w:r w:rsidRPr="000F2857">
        <w:rPr>
          <w:rFonts w:eastAsia="Calibri" w:cstheme="minorHAnsi"/>
        </w:rPr>
        <w:t>), where possible;</w:t>
      </w:r>
    </w:p>
    <w:p w:rsidR="000F2857" w:rsidRPr="000F2857" w:rsidRDefault="000F2857" w:rsidP="000F2857">
      <w:pPr>
        <w:spacing w:before="120" w:after="120"/>
        <w:ind w:left="425"/>
        <w:contextualSpacing/>
        <w:rPr>
          <w:rFonts w:eastAsia="Calibri" w:cstheme="minorHAnsi"/>
          <w:color w:val="000000"/>
        </w:rPr>
      </w:pPr>
    </w:p>
    <w:p w:rsidR="000F2857" w:rsidRPr="000F2857" w:rsidRDefault="000F2857" w:rsidP="000F2857">
      <w:pPr>
        <w:numPr>
          <w:ilvl w:val="0"/>
          <w:numId w:val="10"/>
        </w:numPr>
        <w:spacing w:before="120" w:after="120"/>
        <w:ind w:left="425"/>
        <w:contextualSpacing/>
        <w:rPr>
          <w:rFonts w:eastAsia="Calibri" w:cstheme="minorHAnsi"/>
          <w:color w:val="000000"/>
        </w:rPr>
      </w:pPr>
      <w:r w:rsidRPr="000F2857">
        <w:rPr>
          <w:rFonts w:eastAsia="Calibri" w:cstheme="minorHAnsi"/>
          <w:color w:val="000000"/>
        </w:rPr>
        <w:lastRenderedPageBreak/>
        <w:t xml:space="preserve">Access to the site is </w:t>
      </w:r>
      <w:r w:rsidRPr="000F2857">
        <w:rPr>
          <w:rFonts w:eastAsia="Calibri" w:cstheme="minorHAnsi"/>
          <w:color w:val="000000"/>
        </w:rPr>
        <w:t>to be gained from Town Head Way;</w:t>
      </w:r>
    </w:p>
    <w:p w:rsidR="000F2857" w:rsidRPr="000F2857" w:rsidRDefault="000F2857" w:rsidP="000F2857">
      <w:pPr>
        <w:spacing w:before="120" w:after="120"/>
        <w:ind w:left="318"/>
        <w:contextualSpacing/>
        <w:rPr>
          <w:rFonts w:eastAsia="Calibri" w:cstheme="minorHAnsi"/>
          <w:color w:val="000000"/>
        </w:rPr>
      </w:pPr>
    </w:p>
    <w:p w:rsidR="000F2857" w:rsidRPr="000F2857" w:rsidRDefault="000F2857" w:rsidP="000F2857">
      <w:pPr>
        <w:numPr>
          <w:ilvl w:val="0"/>
          <w:numId w:val="10"/>
        </w:numPr>
        <w:spacing w:before="120" w:after="120"/>
        <w:ind w:left="360"/>
        <w:contextualSpacing/>
        <w:rPr>
          <w:rFonts w:eastAsia="Calibri" w:cstheme="minorHAnsi"/>
        </w:rPr>
      </w:pPr>
      <w:r w:rsidRPr="000F2857">
        <w:rPr>
          <w:rFonts w:eastAsia="Calibri" w:cstheme="minorHAnsi"/>
          <w:color w:val="000000"/>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0F2857" w:rsidRPr="000F2857" w:rsidRDefault="000F2857" w:rsidP="007525D9"/>
    <w:sectPr w:rsidR="000F2857" w:rsidRPr="000F2857"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512" w:rsidRDefault="00B51512" w:rsidP="00FC3903">
      <w:pPr>
        <w:spacing w:after="0" w:line="240" w:lineRule="auto"/>
      </w:pPr>
      <w:r>
        <w:separator/>
      </w:r>
    </w:p>
  </w:endnote>
  <w:endnote w:type="continuationSeparator" w:id="0">
    <w:p w:rsidR="00B51512" w:rsidRDefault="00B51512"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5021B" w:rsidRDefault="00F5021B">
        <w:pPr>
          <w:pStyle w:val="Footer"/>
          <w:jc w:val="center"/>
        </w:pPr>
        <w:r>
          <w:fldChar w:fldCharType="begin"/>
        </w:r>
        <w:r>
          <w:instrText xml:space="preserve"> PAGE   \* MERGEFORMAT </w:instrText>
        </w:r>
        <w:r>
          <w:fldChar w:fldCharType="separate"/>
        </w:r>
        <w:r w:rsidR="000F2857">
          <w:rPr>
            <w:noProof/>
          </w:rPr>
          <w:t>4</w:t>
        </w:r>
        <w:r>
          <w:rPr>
            <w:noProof/>
          </w:rPr>
          <w:fldChar w:fldCharType="end"/>
        </w:r>
      </w:p>
    </w:sdtContent>
  </w:sdt>
  <w:p w:rsidR="00F5021B" w:rsidRDefault="00F502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512" w:rsidRDefault="00B51512" w:rsidP="00FC3903">
      <w:pPr>
        <w:spacing w:after="0" w:line="240" w:lineRule="auto"/>
      </w:pPr>
      <w:r>
        <w:separator/>
      </w:r>
    </w:p>
  </w:footnote>
  <w:footnote w:type="continuationSeparator" w:id="0">
    <w:p w:rsidR="00B51512" w:rsidRDefault="00B51512"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EF7E8E"/>
    <w:multiLevelType w:val="hybridMultilevel"/>
    <w:tmpl w:val="C79E7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71D4475"/>
    <w:multiLevelType w:val="hybridMultilevel"/>
    <w:tmpl w:val="FC38B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9"/>
  </w:num>
  <w:num w:numId="5">
    <w:abstractNumId w:val="7"/>
  </w:num>
  <w:num w:numId="6">
    <w:abstractNumId w:val="3"/>
  </w:num>
  <w:num w:numId="7">
    <w:abstractNumId w:val="6"/>
  </w:num>
  <w:num w:numId="8">
    <w:abstractNumId w:val="2"/>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2178C"/>
    <w:rsid w:val="000735C8"/>
    <w:rsid w:val="000D020A"/>
    <w:rsid w:val="000F2857"/>
    <w:rsid w:val="00120002"/>
    <w:rsid w:val="0019186B"/>
    <w:rsid w:val="001B7854"/>
    <w:rsid w:val="00247682"/>
    <w:rsid w:val="0025359F"/>
    <w:rsid w:val="00276514"/>
    <w:rsid w:val="002C0460"/>
    <w:rsid w:val="004245B4"/>
    <w:rsid w:val="00457AF4"/>
    <w:rsid w:val="00492515"/>
    <w:rsid w:val="004D3A4B"/>
    <w:rsid w:val="004E3847"/>
    <w:rsid w:val="0053462A"/>
    <w:rsid w:val="005D5DD2"/>
    <w:rsid w:val="00686E1A"/>
    <w:rsid w:val="006A505B"/>
    <w:rsid w:val="006A62A7"/>
    <w:rsid w:val="007525D9"/>
    <w:rsid w:val="00761A98"/>
    <w:rsid w:val="00776515"/>
    <w:rsid w:val="007B24CD"/>
    <w:rsid w:val="007C4CD1"/>
    <w:rsid w:val="007F5349"/>
    <w:rsid w:val="00800F78"/>
    <w:rsid w:val="008264EE"/>
    <w:rsid w:val="00834898"/>
    <w:rsid w:val="00834C80"/>
    <w:rsid w:val="008856BA"/>
    <w:rsid w:val="009615AC"/>
    <w:rsid w:val="009D0682"/>
    <w:rsid w:val="00A06E20"/>
    <w:rsid w:val="00AD536B"/>
    <w:rsid w:val="00AD6F3E"/>
    <w:rsid w:val="00B11693"/>
    <w:rsid w:val="00B43C3B"/>
    <w:rsid w:val="00B51512"/>
    <w:rsid w:val="00C1109B"/>
    <w:rsid w:val="00C344F2"/>
    <w:rsid w:val="00C815F9"/>
    <w:rsid w:val="00C90BFD"/>
    <w:rsid w:val="00CB2830"/>
    <w:rsid w:val="00CD432F"/>
    <w:rsid w:val="00D0781C"/>
    <w:rsid w:val="00D1411F"/>
    <w:rsid w:val="00DB6773"/>
    <w:rsid w:val="00E22A10"/>
    <w:rsid w:val="00E67360"/>
    <w:rsid w:val="00E949DF"/>
    <w:rsid w:val="00F11D3F"/>
    <w:rsid w:val="00F2287F"/>
    <w:rsid w:val="00F5021B"/>
    <w:rsid w:val="00F62E2A"/>
    <w:rsid w:val="00F85A12"/>
    <w:rsid w:val="00FB0CB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468884">
      <w:bodyDiv w:val="1"/>
      <w:marLeft w:val="0"/>
      <w:marRight w:val="0"/>
      <w:marTop w:val="0"/>
      <w:marBottom w:val="0"/>
      <w:divBdr>
        <w:top w:val="none" w:sz="0" w:space="0" w:color="auto"/>
        <w:left w:val="none" w:sz="0" w:space="0" w:color="auto"/>
        <w:bottom w:val="none" w:sz="0" w:space="0" w:color="auto"/>
        <w:right w:val="none" w:sz="0" w:space="0" w:color="auto"/>
      </w:divBdr>
    </w:div>
    <w:div w:id="924416517">
      <w:bodyDiv w:val="1"/>
      <w:marLeft w:val="0"/>
      <w:marRight w:val="0"/>
      <w:marTop w:val="0"/>
      <w:marBottom w:val="0"/>
      <w:divBdr>
        <w:top w:val="none" w:sz="0" w:space="0" w:color="auto"/>
        <w:left w:val="none" w:sz="0" w:space="0" w:color="auto"/>
        <w:bottom w:val="none" w:sz="0" w:space="0" w:color="auto"/>
        <w:right w:val="none" w:sz="0" w:space="0" w:color="auto"/>
      </w:divBdr>
    </w:div>
    <w:div w:id="959991034">
      <w:bodyDiv w:val="1"/>
      <w:marLeft w:val="0"/>
      <w:marRight w:val="0"/>
      <w:marTop w:val="0"/>
      <w:marBottom w:val="0"/>
      <w:divBdr>
        <w:top w:val="none" w:sz="0" w:space="0" w:color="auto"/>
        <w:left w:val="none" w:sz="0" w:space="0" w:color="auto"/>
        <w:bottom w:val="none" w:sz="0" w:space="0" w:color="auto"/>
        <w:right w:val="none" w:sz="0" w:space="0" w:color="auto"/>
      </w:divBdr>
    </w:div>
    <w:div w:id="1322659675">
      <w:bodyDiv w:val="1"/>
      <w:marLeft w:val="0"/>
      <w:marRight w:val="0"/>
      <w:marTop w:val="0"/>
      <w:marBottom w:val="0"/>
      <w:divBdr>
        <w:top w:val="none" w:sz="0" w:space="0" w:color="auto"/>
        <w:left w:val="none" w:sz="0" w:space="0" w:color="auto"/>
        <w:bottom w:val="none" w:sz="0" w:space="0" w:color="auto"/>
        <w:right w:val="none" w:sz="0" w:space="0" w:color="auto"/>
      </w:divBdr>
    </w:div>
    <w:div w:id="1437747841">
      <w:bodyDiv w:val="1"/>
      <w:marLeft w:val="0"/>
      <w:marRight w:val="0"/>
      <w:marTop w:val="0"/>
      <w:marBottom w:val="0"/>
      <w:divBdr>
        <w:top w:val="none" w:sz="0" w:space="0" w:color="auto"/>
        <w:left w:val="none" w:sz="0" w:space="0" w:color="auto"/>
        <w:bottom w:val="none" w:sz="0" w:space="0" w:color="auto"/>
        <w:right w:val="none" w:sz="0" w:space="0" w:color="auto"/>
      </w:divBdr>
    </w:div>
    <w:div w:id="192841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9894A-DD82-4CE6-8C37-3ADFEBFA9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24</cp:revision>
  <cp:lastPrinted>2017-02-28T12:42:00Z</cp:lastPrinted>
  <dcterms:created xsi:type="dcterms:W3CDTF">2017-03-07T11:09:00Z</dcterms:created>
  <dcterms:modified xsi:type="dcterms:W3CDTF">2019-11-10T20:19:00Z</dcterms:modified>
</cp:coreProperties>
</file>